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905F" w14:textId="77777777" w:rsidR="00204220" w:rsidRPr="00204220" w:rsidRDefault="00204220" w:rsidP="00204220">
      <w:pPr>
        <w:spacing w:after="16" w:line="259" w:lineRule="auto"/>
        <w:ind w:left="0" w:right="0" w:firstLine="0"/>
        <w:rPr>
          <w:color w:val="auto"/>
        </w:rPr>
      </w:pPr>
      <w:r w:rsidRPr="00204220">
        <w:rPr>
          <w:rFonts w:eastAsia="Arial"/>
          <w:b/>
          <w:color w:val="auto"/>
          <w:sz w:val="24"/>
        </w:rPr>
        <w:t xml:space="preserve">Bilaga 2a </w:t>
      </w:r>
    </w:p>
    <w:p w14:paraId="62874B99" w14:textId="77777777" w:rsidR="00204220" w:rsidRPr="00204220" w:rsidRDefault="00204220" w:rsidP="00204220">
      <w:pPr>
        <w:pStyle w:val="Rubrik2"/>
        <w:ind w:left="-5"/>
        <w:rPr>
          <w:rFonts w:ascii="Times New Roman" w:hAnsi="Times New Roman" w:cs="Times New Roman"/>
          <w:color w:val="auto"/>
        </w:rPr>
      </w:pPr>
      <w:r w:rsidRPr="00204220">
        <w:rPr>
          <w:rFonts w:ascii="Times New Roman" w:hAnsi="Times New Roman" w:cs="Times New Roman"/>
          <w:color w:val="auto"/>
        </w:rPr>
        <w:t xml:space="preserve">Rutiner när någon är påverkad på jobbet  </w:t>
      </w:r>
    </w:p>
    <w:p w14:paraId="7B6C2A88" w14:textId="77777777" w:rsidR="00204220" w:rsidRPr="00204220" w:rsidRDefault="00204220" w:rsidP="00204220">
      <w:pPr>
        <w:spacing w:after="281"/>
        <w:ind w:left="-5" w:right="578"/>
        <w:rPr>
          <w:color w:val="auto"/>
        </w:rPr>
      </w:pPr>
      <w:r w:rsidRPr="00204220">
        <w:rPr>
          <w:color w:val="auto"/>
        </w:rPr>
        <w:t xml:space="preserve">Chefer och arbetsledare med personalansvar är ansvariga för att avgöra vem på arbetsplatsen som är tjänstbar eller inte. Det finns många anledningar till att en person bedöms vara icke tjänstbar. Alkohol och drogpåverkan kan vara en orsak.  </w:t>
      </w:r>
    </w:p>
    <w:p w14:paraId="7FA8B091" w14:textId="77777777" w:rsidR="00204220" w:rsidRPr="00204220" w:rsidRDefault="00204220" w:rsidP="00204220">
      <w:pPr>
        <w:numPr>
          <w:ilvl w:val="0"/>
          <w:numId w:val="1"/>
        </w:numPr>
        <w:spacing w:after="283" w:line="245" w:lineRule="auto"/>
        <w:ind w:right="578" w:hanging="360"/>
        <w:rPr>
          <w:color w:val="auto"/>
        </w:rPr>
      </w:pPr>
      <w:r w:rsidRPr="00204220">
        <w:rPr>
          <w:color w:val="auto"/>
        </w:rPr>
        <w:t>Om chefen bedömer att en person inte är tjänstbar, till exempel på grund av att han/hon är påverkad av alkohol eller har intagit narkotika så ska han/hon tas om hand på det sätt som situationen kräver, till exempel skickas hem efter eventuell provtagning.</w:t>
      </w:r>
    </w:p>
    <w:p w14:paraId="058AB2F9" w14:textId="77777777" w:rsidR="00204220" w:rsidRPr="00204220" w:rsidRDefault="00204220" w:rsidP="00204220">
      <w:pPr>
        <w:numPr>
          <w:ilvl w:val="0"/>
          <w:numId w:val="1"/>
        </w:numPr>
        <w:spacing w:after="283" w:line="245" w:lineRule="auto"/>
        <w:ind w:right="578" w:hanging="360"/>
        <w:rPr>
          <w:color w:val="auto"/>
        </w:rPr>
      </w:pPr>
      <w:r w:rsidRPr="00204220">
        <w:rPr>
          <w:color w:val="auto"/>
        </w:rPr>
        <w:t xml:space="preserve">Om företaget tillämpar drog-och alkoholtester slumpvist eller vid misstanke kan chefen anmoda personen att genomföra sådant test. Medarbetaren bör även ha möjlighet att frigöra sig från misstanken genom att genomgå ett sådant test även om tester vanligtvis inte tillämpas på företaget. </w:t>
      </w:r>
    </w:p>
    <w:p w14:paraId="3500BD85" w14:textId="77777777" w:rsidR="00204220" w:rsidRPr="00204220" w:rsidRDefault="00204220" w:rsidP="00204220">
      <w:pPr>
        <w:numPr>
          <w:ilvl w:val="0"/>
          <w:numId w:val="1"/>
        </w:numPr>
        <w:spacing w:after="219"/>
        <w:ind w:right="578" w:hanging="360"/>
        <w:rPr>
          <w:color w:val="auto"/>
        </w:rPr>
      </w:pPr>
      <w:r w:rsidRPr="00204220">
        <w:rPr>
          <w:color w:val="auto"/>
        </w:rPr>
        <w:t>När en person skickas hem ska det ske på ett betryggande sätt, exempelvis inte låta personen köra själv.</w:t>
      </w:r>
    </w:p>
    <w:p w14:paraId="78736098" w14:textId="77777777" w:rsidR="00204220" w:rsidRPr="00204220" w:rsidRDefault="00204220" w:rsidP="00204220">
      <w:pPr>
        <w:numPr>
          <w:ilvl w:val="0"/>
          <w:numId w:val="1"/>
        </w:numPr>
        <w:spacing w:after="280"/>
        <w:ind w:right="578" w:hanging="360"/>
        <w:rPr>
          <w:color w:val="auto"/>
        </w:rPr>
      </w:pPr>
      <w:r w:rsidRPr="00204220">
        <w:rPr>
          <w:color w:val="auto"/>
        </w:rPr>
        <w:t>Ett samtal angående händelsen ska hållas så snart som möjligt när medarbetaren är tillbaka på arbetet. Syftet med det samtalet är att tydliggöra att medarbetare brutit mot policyn genom att vara påverkad på arbetsplatsen. Beroende på om personen intagit droger eller varit påverkad av alkohol kan hjälp och stöd erbjudas personen.</w:t>
      </w:r>
    </w:p>
    <w:p w14:paraId="7D4D99C8" w14:textId="77777777" w:rsidR="00204220" w:rsidRPr="00204220" w:rsidRDefault="00204220" w:rsidP="00204220">
      <w:pPr>
        <w:numPr>
          <w:ilvl w:val="0"/>
          <w:numId w:val="1"/>
        </w:numPr>
        <w:spacing w:after="280"/>
        <w:ind w:right="578" w:hanging="360"/>
        <w:rPr>
          <w:color w:val="auto"/>
        </w:rPr>
      </w:pPr>
      <w:r w:rsidRPr="00204220">
        <w:rPr>
          <w:color w:val="auto"/>
        </w:rPr>
        <w:t xml:space="preserve">Vid allvarligare bedömning, exempelvis bruk av droger eller vid upprepning av beteendet påverkad av alkohol bör ett personalärende inledas. Ta kontakt med en förhandlare på TMF/Grafiska för rådgivning. </w:t>
      </w:r>
    </w:p>
    <w:p w14:paraId="25118385" w14:textId="77777777" w:rsidR="00204220" w:rsidRPr="00204220" w:rsidRDefault="00204220" w:rsidP="00204220">
      <w:pPr>
        <w:numPr>
          <w:ilvl w:val="0"/>
          <w:numId w:val="1"/>
        </w:numPr>
        <w:spacing w:after="219"/>
        <w:ind w:right="578" w:hanging="360"/>
        <w:rPr>
          <w:color w:val="auto"/>
        </w:rPr>
      </w:pPr>
      <w:r w:rsidRPr="00204220">
        <w:rPr>
          <w:color w:val="auto"/>
        </w:rPr>
        <w:t>Om medarbetaren av läkare har diagnosernas med alkoholberoendesyndrom som påverkar arbetsförmågan ska hon/han erbjudas arbetslivsinriktad rehabilitering i enlighet med företagets rutiner.</w:t>
      </w:r>
    </w:p>
    <w:p w14:paraId="2BEF5484" w14:textId="77777777" w:rsidR="00204220" w:rsidRPr="00204220" w:rsidRDefault="00204220" w:rsidP="00204220">
      <w:pPr>
        <w:numPr>
          <w:ilvl w:val="0"/>
          <w:numId w:val="1"/>
        </w:numPr>
        <w:spacing w:after="281"/>
        <w:ind w:right="578" w:hanging="360"/>
        <w:rPr>
          <w:color w:val="auto"/>
        </w:rPr>
      </w:pPr>
      <w:r w:rsidRPr="00204220">
        <w:rPr>
          <w:color w:val="auto"/>
        </w:rPr>
        <w:t xml:space="preserve">Om den anställde inte vill medverka till att klarlägga orsaken till det inträffade kan chefen åberopa misskötsamhet. Det innebär att om misskötsamheten fortsätter, kan anställningen prövas enligt LAS och en uppsägning kan bli aktuell. </w:t>
      </w:r>
    </w:p>
    <w:p w14:paraId="178A2592" w14:textId="77777777" w:rsidR="00204220" w:rsidRPr="00204220" w:rsidRDefault="00204220" w:rsidP="00204220">
      <w:pPr>
        <w:numPr>
          <w:ilvl w:val="0"/>
          <w:numId w:val="1"/>
        </w:numPr>
        <w:spacing w:after="281"/>
        <w:ind w:right="578" w:hanging="360"/>
        <w:rPr>
          <w:color w:val="auto"/>
        </w:rPr>
      </w:pPr>
      <w:r w:rsidRPr="00204220">
        <w:rPr>
          <w:color w:val="auto"/>
        </w:rPr>
        <w:t>För det fall det föreligger ett alkoholberoende och den anställde inte medverkar till sin egen rehabilitering kan, efter en tid, rehabiliteringen avslutas och den anställde har då inte längre ett förstärkt anställningsskydd. Kontakta förhandlare på TMF/Grafiska för rådgivning,</w:t>
      </w:r>
    </w:p>
    <w:p w14:paraId="29D00ECF" w14:textId="77777777" w:rsidR="00204220" w:rsidRPr="00204220" w:rsidRDefault="00204220" w:rsidP="00204220">
      <w:pPr>
        <w:numPr>
          <w:ilvl w:val="0"/>
          <w:numId w:val="1"/>
        </w:numPr>
        <w:spacing w:after="182"/>
        <w:ind w:right="578" w:hanging="360"/>
        <w:rPr>
          <w:color w:val="auto"/>
        </w:rPr>
      </w:pPr>
      <w:r w:rsidRPr="00204220">
        <w:rPr>
          <w:color w:val="auto"/>
        </w:rPr>
        <w:t>Alla händelser och samtal ska dokumenteras och följas upp.</w:t>
      </w:r>
    </w:p>
    <w:p w14:paraId="2DD4DA97" w14:textId="77777777" w:rsidR="00204220" w:rsidRPr="00204220" w:rsidRDefault="00204220" w:rsidP="00204220">
      <w:pPr>
        <w:pStyle w:val="Rubrik3"/>
        <w:ind w:left="-5"/>
        <w:rPr>
          <w:rFonts w:cs="Times New Roman"/>
          <w:color w:val="auto"/>
        </w:rPr>
      </w:pPr>
      <w:r w:rsidRPr="00204220">
        <w:rPr>
          <w:rFonts w:cs="Times New Roman"/>
          <w:color w:val="auto"/>
        </w:rPr>
        <w:t>Rehabilitering</w:t>
      </w:r>
      <w:r w:rsidRPr="00204220">
        <w:rPr>
          <w:rFonts w:eastAsia="Times New Roman" w:cs="Times New Roman"/>
          <w:color w:val="auto"/>
        </w:rPr>
        <w:t xml:space="preserve"> </w:t>
      </w:r>
    </w:p>
    <w:p w14:paraId="59D29FF5" w14:textId="77777777" w:rsidR="00204220" w:rsidRPr="00204220" w:rsidRDefault="00204220" w:rsidP="00204220">
      <w:pPr>
        <w:spacing w:after="0"/>
        <w:ind w:left="-5" w:right="578"/>
        <w:rPr>
          <w:color w:val="auto"/>
        </w:rPr>
      </w:pPr>
      <w:r w:rsidRPr="00204220">
        <w:rPr>
          <w:color w:val="auto"/>
        </w:rPr>
        <w:t xml:space="preserve">Behovet av rehabiliteringsinsatser för alkoholberoendesyndrom avgörs från fall till fall i samråd mellan arbetsgivaren, medarbetaren och eventuella extern resurs såsom företagshälsovården. Arbetsgivaren har inte en skyldighet att bekosta medicinsk rehabilitering såsom exempelvis behandlingshem. </w:t>
      </w:r>
    </w:p>
    <w:p w14:paraId="004F5053" w14:textId="77777777" w:rsidR="00204220" w:rsidRPr="00204220" w:rsidRDefault="00204220" w:rsidP="00204220">
      <w:pPr>
        <w:spacing w:after="0" w:line="250" w:lineRule="auto"/>
        <w:ind w:left="-6" w:right="578" w:hanging="11"/>
        <w:rPr>
          <w:color w:val="auto"/>
        </w:rPr>
      </w:pPr>
      <w:r w:rsidRPr="00204220">
        <w:rPr>
          <w:color w:val="auto"/>
        </w:rPr>
        <w:t xml:space="preserve"> </w:t>
      </w:r>
    </w:p>
    <w:p w14:paraId="7DC93D37" w14:textId="77777777" w:rsidR="00204220" w:rsidRPr="00204220" w:rsidRDefault="00204220" w:rsidP="00204220">
      <w:pPr>
        <w:spacing w:after="0"/>
        <w:ind w:left="-5" w:right="578"/>
        <w:rPr>
          <w:color w:val="auto"/>
        </w:rPr>
      </w:pPr>
      <w:r w:rsidRPr="00204220">
        <w:rPr>
          <w:color w:val="auto"/>
        </w:rPr>
        <w:t>Medarbetaren har skyldighet att aktivt medverka i sin egen rehabilitering. Till stöd finns närmaste chef, kollegor och företagshälsovården.</w:t>
      </w:r>
    </w:p>
    <w:p w14:paraId="2C3E689C" w14:textId="77777777" w:rsidR="00204220" w:rsidRPr="00204220" w:rsidRDefault="00204220" w:rsidP="00204220">
      <w:pPr>
        <w:spacing w:after="0" w:line="250" w:lineRule="auto"/>
        <w:ind w:left="-6" w:right="578" w:hanging="11"/>
        <w:rPr>
          <w:color w:val="auto"/>
        </w:rPr>
      </w:pPr>
    </w:p>
    <w:p w14:paraId="713FF3AC" w14:textId="77777777" w:rsidR="00204220" w:rsidRPr="00204220" w:rsidRDefault="00204220" w:rsidP="00204220">
      <w:pPr>
        <w:ind w:left="-5" w:right="578"/>
        <w:rPr>
          <w:color w:val="auto"/>
        </w:rPr>
      </w:pPr>
      <w:r w:rsidRPr="00204220">
        <w:rPr>
          <w:color w:val="auto"/>
        </w:rPr>
        <w:lastRenderedPageBreak/>
        <w:t xml:space="preserve">Målet är att medarbetaren ska komma tillbaka i tjänst så snart som möjligt. </w:t>
      </w:r>
    </w:p>
    <w:p w14:paraId="3D7406DE" w14:textId="77777777" w:rsidR="00204220" w:rsidRPr="00204220" w:rsidRDefault="00204220" w:rsidP="00204220">
      <w:pPr>
        <w:spacing w:after="70"/>
        <w:ind w:left="-5" w:right="578"/>
        <w:rPr>
          <w:color w:val="auto"/>
        </w:rPr>
      </w:pPr>
      <w:r w:rsidRPr="00204220">
        <w:rPr>
          <w:color w:val="auto"/>
        </w:rPr>
        <w:t xml:space="preserve">Följande gäller om medarbetaren medverkar i en utredning och det framkommer behov av rehabilitering: </w:t>
      </w:r>
    </w:p>
    <w:p w14:paraId="27385661" w14:textId="77777777" w:rsidR="00204220" w:rsidRPr="00204220" w:rsidRDefault="00204220" w:rsidP="00204220">
      <w:pPr>
        <w:numPr>
          <w:ilvl w:val="0"/>
          <w:numId w:val="2"/>
        </w:numPr>
        <w:spacing w:after="26"/>
        <w:ind w:right="578" w:hanging="360"/>
        <w:rPr>
          <w:color w:val="auto"/>
        </w:rPr>
      </w:pPr>
      <w:r w:rsidRPr="00204220">
        <w:rPr>
          <w:color w:val="auto"/>
        </w:rPr>
        <w:t>En rehabiliteringsöverenskommelse upprättas mellan medarbetare, chef, eventuell facklig företrädare och annan aktör.</w:t>
      </w:r>
    </w:p>
    <w:p w14:paraId="37569803" w14:textId="77777777" w:rsidR="00204220" w:rsidRPr="00204220" w:rsidRDefault="00204220" w:rsidP="00204220">
      <w:pPr>
        <w:numPr>
          <w:ilvl w:val="0"/>
          <w:numId w:val="2"/>
        </w:numPr>
        <w:spacing w:after="10"/>
        <w:ind w:right="578" w:hanging="360"/>
        <w:rPr>
          <w:color w:val="auto"/>
        </w:rPr>
      </w:pPr>
      <w:r w:rsidRPr="00204220">
        <w:rPr>
          <w:color w:val="auto"/>
        </w:rPr>
        <w:t>Överenskommelsen ska följas upp kontinuerligt och alla samtal dokumenteras.</w:t>
      </w:r>
    </w:p>
    <w:p w14:paraId="10127D97" w14:textId="77777777" w:rsidR="00204220" w:rsidRPr="00204220" w:rsidRDefault="00204220" w:rsidP="00204220">
      <w:pPr>
        <w:numPr>
          <w:ilvl w:val="0"/>
          <w:numId w:val="2"/>
        </w:numPr>
        <w:ind w:right="578" w:hanging="360"/>
        <w:rPr>
          <w:color w:val="auto"/>
        </w:rPr>
      </w:pPr>
      <w:r w:rsidRPr="00204220">
        <w:rPr>
          <w:color w:val="auto"/>
        </w:rPr>
        <w:t>Kontinuerlig uppföljning av ett ärende bör ske upp till två år innan det avslutas.</w:t>
      </w:r>
    </w:p>
    <w:sectPr w:rsidR="00204220" w:rsidRPr="00204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CA1"/>
    <w:multiLevelType w:val="hybridMultilevel"/>
    <w:tmpl w:val="46CC6DF6"/>
    <w:lvl w:ilvl="0" w:tplc="0D0001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C6A35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0A8E0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4422B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2E51C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E8681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D473B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1201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AC7A2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85361F"/>
    <w:multiLevelType w:val="hybridMultilevel"/>
    <w:tmpl w:val="E3CA4CBC"/>
    <w:lvl w:ilvl="0" w:tplc="44D4E5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FC68A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762D8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00AB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A437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4273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4855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721D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6E02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67171707">
    <w:abstractNumId w:val="1"/>
  </w:num>
  <w:num w:numId="2" w16cid:durableId="4692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0"/>
    <w:rsid w:val="00054F7E"/>
    <w:rsid w:val="00204220"/>
    <w:rsid w:val="00486D58"/>
    <w:rsid w:val="005455B9"/>
    <w:rsid w:val="00990E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287C"/>
  <w15:chartTrackingRefBased/>
  <w15:docId w15:val="{5A0F00C8-9C63-40A9-86D6-158C4263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20"/>
    <w:pPr>
      <w:spacing w:after="243" w:line="249" w:lineRule="auto"/>
      <w:ind w:left="10" w:right="502" w:hanging="10"/>
    </w:pPr>
    <w:rPr>
      <w:rFonts w:ascii="Times New Roman" w:eastAsia="Times New Roman" w:hAnsi="Times New Roman" w:cs="Times New Roman"/>
      <w:color w:val="000000"/>
      <w:sz w:val="22"/>
      <w:lang w:eastAsia="sv-SE"/>
    </w:rPr>
  </w:style>
  <w:style w:type="paragraph" w:styleId="Rubrik1">
    <w:name w:val="heading 1"/>
    <w:basedOn w:val="Normal"/>
    <w:next w:val="Normal"/>
    <w:link w:val="Rubrik1Char"/>
    <w:uiPriority w:val="9"/>
    <w:qFormat/>
    <w:rsid w:val="00204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204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20422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0422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0422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0422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0422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0422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0422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0422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rsid w:val="0020422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rsid w:val="0020422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0422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0422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0422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0422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0422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04220"/>
    <w:rPr>
      <w:rFonts w:eastAsiaTheme="majorEastAsia" w:cstheme="majorBidi"/>
      <w:color w:val="272727" w:themeColor="text1" w:themeTint="D8"/>
    </w:rPr>
  </w:style>
  <w:style w:type="paragraph" w:styleId="Rubrik">
    <w:name w:val="Title"/>
    <w:basedOn w:val="Normal"/>
    <w:next w:val="Normal"/>
    <w:link w:val="RubrikChar"/>
    <w:uiPriority w:val="10"/>
    <w:qFormat/>
    <w:rsid w:val="00204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0422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0422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042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0422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04220"/>
    <w:rPr>
      <w:i/>
      <w:iCs/>
      <w:color w:val="404040" w:themeColor="text1" w:themeTint="BF"/>
    </w:rPr>
  </w:style>
  <w:style w:type="paragraph" w:styleId="Liststycke">
    <w:name w:val="List Paragraph"/>
    <w:basedOn w:val="Normal"/>
    <w:uiPriority w:val="34"/>
    <w:qFormat/>
    <w:rsid w:val="00204220"/>
    <w:pPr>
      <w:ind w:left="720"/>
      <w:contextualSpacing/>
    </w:pPr>
  </w:style>
  <w:style w:type="character" w:styleId="Starkbetoning">
    <w:name w:val="Intense Emphasis"/>
    <w:basedOn w:val="Standardstycketeckensnitt"/>
    <w:uiPriority w:val="21"/>
    <w:qFormat/>
    <w:rsid w:val="00204220"/>
    <w:rPr>
      <w:i/>
      <w:iCs/>
      <w:color w:val="0F4761" w:themeColor="accent1" w:themeShade="BF"/>
    </w:rPr>
  </w:style>
  <w:style w:type="paragraph" w:styleId="Starktcitat">
    <w:name w:val="Intense Quote"/>
    <w:basedOn w:val="Normal"/>
    <w:next w:val="Normal"/>
    <w:link w:val="StarktcitatChar"/>
    <w:uiPriority w:val="30"/>
    <w:qFormat/>
    <w:rsid w:val="00204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04220"/>
    <w:rPr>
      <w:i/>
      <w:iCs/>
      <w:color w:val="0F4761" w:themeColor="accent1" w:themeShade="BF"/>
    </w:rPr>
  </w:style>
  <w:style w:type="character" w:styleId="Starkreferens">
    <w:name w:val="Intense Reference"/>
    <w:basedOn w:val="Standardstycketeckensnitt"/>
    <w:uiPriority w:val="32"/>
    <w:qFormat/>
    <w:rsid w:val="002042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2650</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Kertz</dc:creator>
  <cp:keywords/>
  <dc:description/>
  <cp:lastModifiedBy>Frida Kertz</cp:lastModifiedBy>
  <cp:revision>1</cp:revision>
  <dcterms:created xsi:type="dcterms:W3CDTF">2025-11-25T08:45:00Z</dcterms:created>
  <dcterms:modified xsi:type="dcterms:W3CDTF">2025-11-25T08:46:00Z</dcterms:modified>
</cp:coreProperties>
</file>